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xls" ContentType="application/vnd.ms-exce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6C4" w:rsidRPr="001406C4" w:rsidRDefault="001406C4" w:rsidP="001406C4">
      <w:pPr>
        <w:pStyle w:val="a7"/>
        <w:jc w:val="center"/>
        <w:rPr>
          <w:rFonts w:ascii="Times New Roman" w:hAnsi="Times New Roman"/>
          <w:sz w:val="28"/>
          <w:szCs w:val="28"/>
        </w:rPr>
      </w:pPr>
      <w:r w:rsidRPr="001406C4">
        <w:rPr>
          <w:rFonts w:ascii="Times New Roman" w:hAnsi="Times New Roman"/>
          <w:sz w:val="28"/>
          <w:szCs w:val="28"/>
          <w:lang w:val="kk-KZ"/>
        </w:rPr>
        <w:t xml:space="preserve">1 </w:t>
      </w:r>
      <w:r w:rsidRPr="001406C4">
        <w:rPr>
          <w:rFonts w:ascii="Times New Roman" w:hAnsi="Times New Roman"/>
          <w:sz w:val="28"/>
          <w:szCs w:val="28"/>
        </w:rPr>
        <w:t>СТРУКТУРА МИРОВОГО ЭНЕРГОП</w:t>
      </w:r>
      <w:r w:rsidRPr="001406C4">
        <w:rPr>
          <w:rFonts w:ascii="Times New Roman" w:hAnsi="Times New Roman"/>
          <w:sz w:val="28"/>
          <w:szCs w:val="28"/>
        </w:rPr>
        <w:t>О</w:t>
      </w:r>
      <w:r w:rsidRPr="001406C4">
        <w:rPr>
          <w:rFonts w:ascii="Times New Roman" w:hAnsi="Times New Roman"/>
          <w:sz w:val="28"/>
          <w:szCs w:val="28"/>
        </w:rPr>
        <w:t>ТРЕБЛЕНИЯ. ФАКТОРЫ, ОБУСЛАВЛИВАЮЩИЕ АКТУАЛЬНОСТЬ ЭНЕРГОСБЕРЕЖЕНИЯ</w:t>
      </w:r>
    </w:p>
    <w:p w:rsidR="001406C4" w:rsidRPr="001406C4" w:rsidRDefault="001406C4" w:rsidP="001406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1406C4" w:rsidRPr="001406C4" w:rsidRDefault="001406C4" w:rsidP="001406C4">
      <w:pPr>
        <w:pStyle w:val="a3"/>
        <w:rPr>
          <w:sz w:val="28"/>
          <w:szCs w:val="28"/>
        </w:rPr>
      </w:pPr>
      <w:r w:rsidRPr="001406C4">
        <w:rPr>
          <w:sz w:val="28"/>
          <w:szCs w:val="28"/>
        </w:rPr>
        <w:tab/>
        <w:t>Развитие человеческого общества всегда было связано с расширением использования энергетических ресурсов. За предыдущее столетие мировое энергопотребление увеличилось более чем в 5 раз и достигло 12 млрд. тонн условного топлива в год. Прирост мирового энергопотребления за десят</w:t>
      </w:r>
      <w:r w:rsidRPr="001406C4">
        <w:rPr>
          <w:sz w:val="28"/>
          <w:szCs w:val="28"/>
        </w:rPr>
        <w:t>и</w:t>
      </w:r>
      <w:r w:rsidRPr="001406C4">
        <w:rPr>
          <w:sz w:val="28"/>
          <w:szCs w:val="28"/>
        </w:rPr>
        <w:t>летний период с 1963 по 1972 гг. составил 2,6 млрд. т у. т., а за последующий десятилетний период – всего 1,7 млрд. т у. т., или в полтора раза меньше. Ос</w:t>
      </w:r>
      <w:r w:rsidRPr="001406C4">
        <w:rPr>
          <w:sz w:val="28"/>
          <w:szCs w:val="28"/>
        </w:rPr>
        <w:t>о</w:t>
      </w:r>
      <w:r w:rsidRPr="001406C4">
        <w:rPr>
          <w:sz w:val="28"/>
          <w:szCs w:val="28"/>
        </w:rPr>
        <w:t xml:space="preserve">бенно резко снизились темпы прироста энергопотребления в промышленно развитых странах. Средний ежегодный прирост потребления в мире составил 1,7 % в год, а в США – 0,4 %, в странах Западной Европы – 0,25 %. </w:t>
      </w:r>
    </w:p>
    <w:p w:rsidR="001406C4" w:rsidRPr="001406C4" w:rsidRDefault="001406C4" w:rsidP="001406C4">
      <w:pPr>
        <w:pStyle w:val="a3"/>
        <w:ind w:firstLine="708"/>
        <w:rPr>
          <w:sz w:val="28"/>
          <w:szCs w:val="28"/>
        </w:rPr>
      </w:pPr>
      <w:r w:rsidRPr="001406C4">
        <w:rPr>
          <w:sz w:val="28"/>
          <w:szCs w:val="28"/>
        </w:rPr>
        <w:t>Многие страны уже миновали период расточительного и</w:t>
      </w:r>
      <w:r w:rsidRPr="001406C4">
        <w:rPr>
          <w:sz w:val="28"/>
          <w:szCs w:val="28"/>
        </w:rPr>
        <w:t>с</w:t>
      </w:r>
      <w:r w:rsidRPr="001406C4">
        <w:rPr>
          <w:sz w:val="28"/>
          <w:szCs w:val="28"/>
        </w:rPr>
        <w:t>пользования энергетических ресурсов и встали на путь энергосбережения и одновр</w:t>
      </w:r>
      <w:r w:rsidRPr="001406C4">
        <w:rPr>
          <w:sz w:val="28"/>
          <w:szCs w:val="28"/>
        </w:rPr>
        <w:t>е</w:t>
      </w:r>
      <w:r w:rsidRPr="001406C4">
        <w:rPr>
          <w:sz w:val="28"/>
          <w:szCs w:val="28"/>
        </w:rPr>
        <w:t>менно с этим повышения качес</w:t>
      </w:r>
      <w:r w:rsidRPr="001406C4">
        <w:rPr>
          <w:sz w:val="28"/>
          <w:szCs w:val="28"/>
        </w:rPr>
        <w:t>т</w:t>
      </w:r>
      <w:r w:rsidRPr="001406C4">
        <w:rPr>
          <w:sz w:val="28"/>
          <w:szCs w:val="28"/>
        </w:rPr>
        <w:t xml:space="preserve">ва использования энергии (табл. 1). </w:t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  <w:r w:rsidRPr="001406C4">
        <w:rPr>
          <w:noProof/>
          <w:sz w:val="28"/>
          <w:szCs w:val="28"/>
          <w:lang w:eastAsia="ru-RU"/>
        </w:rPr>
        <w:drawing>
          <wp:inline distT="0" distB="0" distL="0" distR="0">
            <wp:extent cx="4549140" cy="2589530"/>
            <wp:effectExtent l="0" t="0" r="0" b="0"/>
            <wp:docPr id="5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  <w:r w:rsidRPr="001406C4">
        <w:rPr>
          <w:sz w:val="28"/>
          <w:szCs w:val="28"/>
        </w:rPr>
        <w:t>Рис. 1. Добыча энергоресурсов в мире</w:t>
      </w:r>
    </w:p>
    <w:p w:rsidR="001406C4" w:rsidRPr="001406C4" w:rsidRDefault="001406C4" w:rsidP="001406C4">
      <w:pPr>
        <w:pStyle w:val="a3"/>
        <w:rPr>
          <w:sz w:val="28"/>
          <w:szCs w:val="28"/>
        </w:rPr>
      </w:pPr>
    </w:p>
    <w:p w:rsidR="001406C4" w:rsidRPr="001406C4" w:rsidRDefault="001406C4" w:rsidP="001406C4">
      <w:pPr>
        <w:pStyle w:val="a3"/>
        <w:jc w:val="right"/>
        <w:rPr>
          <w:sz w:val="28"/>
          <w:szCs w:val="28"/>
        </w:rPr>
      </w:pPr>
      <w:r w:rsidRPr="001406C4">
        <w:rPr>
          <w:sz w:val="28"/>
          <w:szCs w:val="28"/>
        </w:rPr>
        <w:t>Таблица 1</w:t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  <w:r w:rsidRPr="001406C4">
        <w:rPr>
          <w:sz w:val="28"/>
          <w:szCs w:val="28"/>
        </w:rPr>
        <w:t xml:space="preserve">Мировое потребление </w:t>
      </w:r>
      <w:proofErr w:type="gramStart"/>
      <w:r w:rsidRPr="001406C4">
        <w:rPr>
          <w:sz w:val="28"/>
          <w:szCs w:val="28"/>
        </w:rPr>
        <w:t>энергетических</w:t>
      </w:r>
      <w:proofErr w:type="gramEnd"/>
      <w:r w:rsidRPr="001406C4">
        <w:rPr>
          <w:sz w:val="28"/>
          <w:szCs w:val="28"/>
        </w:rPr>
        <w:t xml:space="preserve"> ресу</w:t>
      </w:r>
      <w:r w:rsidRPr="001406C4">
        <w:rPr>
          <w:sz w:val="28"/>
          <w:szCs w:val="28"/>
        </w:rPr>
        <w:t>р</w:t>
      </w:r>
      <w:r w:rsidRPr="001406C4">
        <w:rPr>
          <w:sz w:val="28"/>
          <w:szCs w:val="28"/>
        </w:rPr>
        <w:t>сов1950-2020 г. [1]</w:t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846"/>
        <w:gridCol w:w="846"/>
        <w:gridCol w:w="846"/>
        <w:gridCol w:w="846"/>
        <w:gridCol w:w="846"/>
        <w:gridCol w:w="846"/>
        <w:gridCol w:w="846"/>
        <w:gridCol w:w="1023"/>
        <w:gridCol w:w="993"/>
      </w:tblGrid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2235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Показатель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1950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1960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1970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1980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1985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1990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2000</w:t>
            </w:r>
          </w:p>
        </w:tc>
        <w:tc>
          <w:tcPr>
            <w:tcW w:w="102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2010</w:t>
            </w:r>
          </w:p>
        </w:tc>
        <w:tc>
          <w:tcPr>
            <w:tcW w:w="99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2020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2235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Потребление энергоресурсов, млрд. </w:t>
            </w:r>
            <w:proofErr w:type="spellStart"/>
            <w:r w:rsidRPr="001406C4">
              <w:rPr>
                <w:sz w:val="28"/>
                <w:szCs w:val="28"/>
              </w:rPr>
              <w:t>ту</w:t>
            </w:r>
            <w:proofErr w:type="gramStart"/>
            <w:r w:rsidRPr="001406C4">
              <w:rPr>
                <w:sz w:val="28"/>
                <w:szCs w:val="28"/>
              </w:rPr>
              <w:t>.т</w:t>
            </w:r>
            <w:proofErr w:type="spellEnd"/>
            <w:proofErr w:type="gramEnd"/>
            <w:r w:rsidRPr="001406C4">
              <w:rPr>
                <w:sz w:val="28"/>
                <w:szCs w:val="28"/>
              </w:rPr>
              <w:t>.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2,85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4,35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6,44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10,10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10,90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12,20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13,00</w:t>
            </w:r>
          </w:p>
        </w:tc>
        <w:tc>
          <w:tcPr>
            <w:tcW w:w="102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15,50</w:t>
            </w:r>
          </w:p>
        </w:tc>
        <w:tc>
          <w:tcPr>
            <w:tcW w:w="99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19,00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Процент прироста потребл</w:t>
            </w:r>
            <w:r w:rsidRPr="001406C4">
              <w:rPr>
                <w:sz w:val="28"/>
                <w:szCs w:val="28"/>
              </w:rPr>
              <w:t>е</w:t>
            </w:r>
            <w:r w:rsidRPr="001406C4">
              <w:rPr>
                <w:sz w:val="28"/>
                <w:szCs w:val="28"/>
              </w:rPr>
              <w:t>ния, %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-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5,30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4,80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5,70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1,58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2,30</w:t>
            </w:r>
          </w:p>
        </w:tc>
        <w:tc>
          <w:tcPr>
            <w:tcW w:w="846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sym w:font="Symbol" w:char="F02D"/>
            </w:r>
          </w:p>
        </w:tc>
        <w:tc>
          <w:tcPr>
            <w:tcW w:w="102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proofErr w:type="spellStart"/>
            <w:proofErr w:type="gramStart"/>
            <w:r w:rsidRPr="001406C4">
              <w:rPr>
                <w:sz w:val="28"/>
                <w:szCs w:val="28"/>
              </w:rPr>
              <w:t>Прог-ноз</w:t>
            </w:r>
            <w:proofErr w:type="spellEnd"/>
            <w:proofErr w:type="gramEnd"/>
          </w:p>
        </w:tc>
        <w:tc>
          <w:tcPr>
            <w:tcW w:w="993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proofErr w:type="spellStart"/>
            <w:proofErr w:type="gramStart"/>
            <w:r w:rsidRPr="001406C4">
              <w:rPr>
                <w:sz w:val="28"/>
                <w:szCs w:val="28"/>
              </w:rPr>
              <w:t>Прог-ноз</w:t>
            </w:r>
            <w:proofErr w:type="spellEnd"/>
            <w:proofErr w:type="gramEnd"/>
          </w:p>
        </w:tc>
      </w:tr>
    </w:tbl>
    <w:p w:rsidR="001406C4" w:rsidRPr="001406C4" w:rsidRDefault="001406C4" w:rsidP="001406C4">
      <w:pPr>
        <w:pStyle w:val="a3"/>
        <w:rPr>
          <w:sz w:val="28"/>
          <w:szCs w:val="28"/>
        </w:rPr>
      </w:pPr>
      <w:r w:rsidRPr="001406C4">
        <w:rPr>
          <w:sz w:val="28"/>
          <w:szCs w:val="28"/>
        </w:rPr>
        <w:t xml:space="preserve"> </w:t>
      </w:r>
    </w:p>
    <w:p w:rsidR="001406C4" w:rsidRPr="001406C4" w:rsidRDefault="001406C4" w:rsidP="001406C4">
      <w:pPr>
        <w:pStyle w:val="a3"/>
        <w:ind w:firstLine="720"/>
        <w:rPr>
          <w:sz w:val="28"/>
          <w:szCs w:val="28"/>
        </w:rPr>
      </w:pPr>
      <w:r w:rsidRPr="001406C4">
        <w:rPr>
          <w:sz w:val="28"/>
          <w:szCs w:val="28"/>
        </w:rPr>
        <w:t>Переломным в изменении темпов прироста потребления стал 1970 г., когда произошло резкое изменение мировых цен на нефть, и промы</w:t>
      </w:r>
      <w:r w:rsidRPr="001406C4">
        <w:rPr>
          <w:sz w:val="28"/>
          <w:szCs w:val="28"/>
        </w:rPr>
        <w:t>ш</w:t>
      </w:r>
      <w:r w:rsidRPr="001406C4">
        <w:rPr>
          <w:sz w:val="28"/>
          <w:szCs w:val="28"/>
        </w:rPr>
        <w:t>ленно развитые страны приступили к реализации энергосберегающих пр</w:t>
      </w:r>
      <w:r w:rsidRPr="001406C4">
        <w:rPr>
          <w:sz w:val="28"/>
          <w:szCs w:val="28"/>
        </w:rPr>
        <w:t>о</w:t>
      </w:r>
      <w:r w:rsidRPr="001406C4">
        <w:rPr>
          <w:sz w:val="28"/>
          <w:szCs w:val="28"/>
        </w:rPr>
        <w:t xml:space="preserve">грамм. 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lastRenderedPageBreak/>
        <w:tab/>
        <w:t>Экспертная оценка мирового потребления коммерческих энергоресурсов за период 1860-1990 гг. представлена в табл. 2. Электроэнергия как первичный энергоресурс (табл. 2) произведена на гидравлических, атомных и геотермальных электростанциях. Структуру мирового баланса энергоресурсов наглядно можно пре</w:t>
      </w:r>
      <w:r w:rsidRPr="001406C4">
        <w:rPr>
          <w:rFonts w:ascii="Times New Roman" w:hAnsi="Times New Roman" w:cs="Times New Roman"/>
          <w:sz w:val="28"/>
          <w:szCs w:val="28"/>
        </w:rPr>
        <w:t>д</w:t>
      </w:r>
      <w:r w:rsidRPr="001406C4">
        <w:rPr>
          <w:rFonts w:ascii="Times New Roman" w:hAnsi="Times New Roman" w:cs="Times New Roman"/>
          <w:sz w:val="28"/>
          <w:szCs w:val="28"/>
        </w:rPr>
        <w:t>ставить, если годовое потребление выразить в процентах от суммарного потребления топлива. Тогда стан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вятся заметны долгосрочные тенденции (рис. 2).</w:t>
      </w:r>
    </w:p>
    <w:p w:rsidR="001406C4" w:rsidRPr="001406C4" w:rsidRDefault="001406C4" w:rsidP="001406C4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object w:dxaOrig="7210" w:dyaOrig="37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6pt;height:189.4pt" o:ole="">
            <v:imagedata r:id="rId6" o:title=""/>
          </v:shape>
          <o:OLEObject Type="Embed" ProgID="Excel.Chart.8" ShapeID="_x0000_i1025" DrawAspect="Content" ObjectID="_1672939392" r:id="rId7">
            <o:FieldCodes>\s</o:FieldCodes>
          </o:OLEObject>
        </w:object>
      </w:r>
    </w:p>
    <w:p w:rsidR="001406C4" w:rsidRPr="001406C4" w:rsidRDefault="001406C4" w:rsidP="001406C4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Рис. 2. Мировой баланс энергоресурсов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Баланс показывает к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 xml:space="preserve">ренные, глубокие сдвиги, происходящие в энергетике ХХ века. </w:t>
      </w:r>
      <w:proofErr w:type="gramStart"/>
      <w:r w:rsidRPr="001406C4">
        <w:rPr>
          <w:rFonts w:ascii="Times New Roman" w:hAnsi="Times New Roman" w:cs="Times New Roman"/>
          <w:sz w:val="28"/>
          <w:szCs w:val="28"/>
        </w:rPr>
        <w:t>В течение длительного времени нарастание использования нефтепродуктов, вызванное интенсивной «моторизац</w:t>
      </w:r>
      <w:r w:rsidRPr="001406C4">
        <w:rPr>
          <w:rFonts w:ascii="Times New Roman" w:hAnsi="Times New Roman" w:cs="Times New Roman"/>
          <w:sz w:val="28"/>
          <w:szCs w:val="28"/>
        </w:rPr>
        <w:t>и</w:t>
      </w:r>
      <w:r w:rsidRPr="001406C4">
        <w:rPr>
          <w:rFonts w:ascii="Times New Roman" w:hAnsi="Times New Roman" w:cs="Times New Roman"/>
          <w:sz w:val="28"/>
          <w:szCs w:val="28"/>
        </w:rPr>
        <w:t>ей» человеческого общества в автомобильном, морском, воздушном транспорте и других видах нестациона</w:t>
      </w:r>
      <w:r w:rsidRPr="001406C4">
        <w:rPr>
          <w:rFonts w:ascii="Times New Roman" w:hAnsi="Times New Roman" w:cs="Times New Roman"/>
          <w:sz w:val="28"/>
          <w:szCs w:val="28"/>
        </w:rPr>
        <w:t>р</w:t>
      </w:r>
      <w:r w:rsidRPr="001406C4">
        <w:rPr>
          <w:rFonts w:ascii="Times New Roman" w:hAnsi="Times New Roman" w:cs="Times New Roman"/>
          <w:sz w:val="28"/>
          <w:szCs w:val="28"/>
        </w:rPr>
        <w:t>ной энергетики, казалось неудержимым, однако тенденция последнего десят</w:t>
      </w:r>
      <w:r w:rsidRPr="001406C4">
        <w:rPr>
          <w:rFonts w:ascii="Times New Roman" w:hAnsi="Times New Roman" w:cs="Times New Roman"/>
          <w:sz w:val="28"/>
          <w:szCs w:val="28"/>
        </w:rPr>
        <w:t>и</w:t>
      </w:r>
      <w:r w:rsidRPr="001406C4">
        <w:rPr>
          <w:rFonts w:ascii="Times New Roman" w:hAnsi="Times New Roman" w:cs="Times New Roman"/>
          <w:sz w:val="28"/>
          <w:szCs w:val="28"/>
        </w:rPr>
        <w:t>летия свидетельствует об интенсивном использовании газа и угля за счет доли нефти.</w:t>
      </w:r>
      <w:proofErr w:type="gramEnd"/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06C4" w:rsidRPr="001406C4" w:rsidRDefault="001406C4" w:rsidP="001406C4">
      <w:pPr>
        <w:jc w:val="right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Таблица 2</w:t>
      </w: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Мировое потребление энергоресурсов</w:t>
      </w: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7"/>
        <w:gridCol w:w="1547"/>
        <w:gridCol w:w="1547"/>
        <w:gridCol w:w="1277"/>
        <w:gridCol w:w="1817"/>
        <w:gridCol w:w="1547"/>
      </w:tblGrid>
      <w:tr w:rsidR="001406C4" w:rsidRPr="001406C4" w:rsidTr="00500C8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Уголь,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 т</w:t>
            </w:r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Нефть,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 т</w:t>
            </w:r>
          </w:p>
        </w:tc>
        <w:tc>
          <w:tcPr>
            <w:tcW w:w="127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Газ,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 м</w:t>
            </w:r>
            <w:r w:rsidRPr="001406C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81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Электр</w:t>
            </w: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-энергия</w:t>
            </w:r>
            <w:proofErr w:type="spellEnd"/>
            <w:proofErr w:type="gramEnd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млн. кВт</w:t>
            </w:r>
            <w:r w:rsidRPr="001406C4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Прочие,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 т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1900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1920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1940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1985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1990</w:t>
            </w:r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246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1350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2350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3300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3810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3930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5090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5590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6280</w:t>
            </w:r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494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1160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2590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4110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4170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4220</w:t>
            </w:r>
          </w:p>
        </w:tc>
        <w:tc>
          <w:tcPr>
            <w:tcW w:w="127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423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1058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1423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1530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1920</w:t>
            </w:r>
          </w:p>
        </w:tc>
        <w:tc>
          <w:tcPr>
            <w:tcW w:w="181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1390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1660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2590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3300</w:t>
            </w:r>
          </w:p>
        </w:tc>
        <w:tc>
          <w:tcPr>
            <w:tcW w:w="154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780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780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720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590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</w:p>
        </w:tc>
      </w:tr>
    </w:tbl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Вместе с изменениями структуры энергетического баланса в мире наблюдается увеличение неравномерности произво</w:t>
      </w:r>
      <w:r w:rsidRPr="001406C4">
        <w:rPr>
          <w:rFonts w:ascii="Times New Roman" w:hAnsi="Times New Roman" w:cs="Times New Roman"/>
          <w:sz w:val="28"/>
          <w:szCs w:val="28"/>
        </w:rPr>
        <w:t>д</w:t>
      </w:r>
      <w:r w:rsidRPr="001406C4">
        <w:rPr>
          <w:rFonts w:ascii="Times New Roman" w:hAnsi="Times New Roman" w:cs="Times New Roman"/>
          <w:sz w:val="28"/>
          <w:szCs w:val="28"/>
        </w:rPr>
        <w:t>ства и потребления энергоресурсов различными регионами. Такие страны, как США, Япония, страны Западной Европы, занимая менее 10 % территории, при населении менее 20 % производят более 50 % мирового промышленного продукта, почти 65 % электр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энергии и потребляют более 55 % природных энергетических ресурсов.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Основным источником энергии для человечества является органическое топливо, и в ближайшем будущем эта ситуация вряд ли изменится. Достигнутое значение потребления топлива в 14-15 млрд. т 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у.т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>. не может быть  обеспечено за счет других нетрадиционных источников энергии. Так запас всех гидроресурсов мира составляет 7,2 млрд. т 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у.т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>., а его использование связано с огромными капитальными затратами на сооружение ГЭС. Использование солне</w:t>
      </w:r>
      <w:r w:rsidRPr="001406C4">
        <w:rPr>
          <w:rFonts w:ascii="Times New Roman" w:hAnsi="Times New Roman" w:cs="Times New Roman"/>
          <w:sz w:val="28"/>
          <w:szCs w:val="28"/>
        </w:rPr>
        <w:t>ч</w:t>
      </w:r>
      <w:r w:rsidRPr="001406C4">
        <w:rPr>
          <w:rFonts w:ascii="Times New Roman" w:hAnsi="Times New Roman" w:cs="Times New Roman"/>
          <w:sz w:val="28"/>
          <w:szCs w:val="28"/>
        </w:rPr>
        <w:t>ной энергии ограничивается низким КПД преобразования, высокой стоим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стью преобразователей и резкой суточной неравномерностью солнечного излучения, требующей со</w:t>
      </w:r>
      <w:r w:rsidRPr="001406C4">
        <w:rPr>
          <w:rFonts w:ascii="Times New Roman" w:hAnsi="Times New Roman" w:cs="Times New Roman"/>
          <w:sz w:val="28"/>
          <w:szCs w:val="28"/>
        </w:rPr>
        <w:t>з</w:t>
      </w:r>
      <w:r w:rsidRPr="001406C4">
        <w:rPr>
          <w:rFonts w:ascii="Times New Roman" w:hAnsi="Times New Roman" w:cs="Times New Roman"/>
          <w:sz w:val="28"/>
          <w:szCs w:val="28"/>
        </w:rPr>
        <w:t xml:space="preserve">дания мощных накопителей электроэнергии. Созданная в Крыму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гелиоэлектр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станция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занимает площадь 40 га и имеет электрическую мощность всего 5 МВт. Использование всей энергии ветра на планете эквивалентно всего лишь 2,8 млрд. т 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у.т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., а использование геотермальной энергии - 1 млрд. т у. </w:t>
      </w:r>
      <w:proofErr w:type="gramStart"/>
      <w:r w:rsidRPr="001406C4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1406C4">
        <w:rPr>
          <w:rFonts w:ascii="Times New Roman" w:hAnsi="Times New Roman" w:cs="Times New Roman"/>
          <w:sz w:val="28"/>
          <w:szCs w:val="28"/>
        </w:rPr>
        <w:t>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lastRenderedPageBreak/>
        <w:tab/>
        <w:t>Энергетический потенциал СССР во многом складывался благодаря неисчерпаемым ресурсам Российской Федерации, которая занимала ¾ всей терр</w:t>
      </w:r>
      <w:r w:rsidRPr="001406C4">
        <w:rPr>
          <w:rFonts w:ascii="Times New Roman" w:hAnsi="Times New Roman" w:cs="Times New Roman"/>
          <w:sz w:val="28"/>
          <w:szCs w:val="28"/>
        </w:rPr>
        <w:t>и</w:t>
      </w:r>
      <w:r w:rsidRPr="001406C4">
        <w:rPr>
          <w:rFonts w:ascii="Times New Roman" w:hAnsi="Times New Roman" w:cs="Times New Roman"/>
          <w:sz w:val="28"/>
          <w:szCs w:val="28"/>
        </w:rPr>
        <w:t>тории бывшего Советского Союза, на которой в 1990 г. проживало около 53 % населения страны.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В настоящее время и на долгие годы Россия обеспечена собственными энергетическими ресурсами:</w:t>
      </w:r>
    </w:p>
    <w:p w:rsidR="001406C4" w:rsidRPr="001406C4" w:rsidRDefault="001406C4" w:rsidP="001406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37 % разведанных мировых запасов природного газа, 13 % нефти, 19 % угля, 14 % урана сосредоточено на ее территории;</w:t>
      </w:r>
    </w:p>
    <w:p w:rsidR="001406C4" w:rsidRPr="001406C4" w:rsidRDefault="001406C4" w:rsidP="001406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по технически реализуемому потенциалу гидроэнергетических ресурсов (около 1700 млрд. кВт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D7"/>
      </w:r>
      <w:r w:rsidRPr="001406C4">
        <w:rPr>
          <w:rFonts w:ascii="Times New Roman" w:hAnsi="Times New Roman" w:cs="Times New Roman"/>
          <w:sz w:val="28"/>
          <w:szCs w:val="28"/>
        </w:rPr>
        <w:t>ч) уступает только Китаю;</w:t>
      </w:r>
    </w:p>
    <w:p w:rsidR="001406C4" w:rsidRPr="001406C4" w:rsidRDefault="001406C4" w:rsidP="001406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 xml:space="preserve">мощные трубопроводные системы – единая газоснабжающая и единая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нефтеснабжающая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системы в основной своей части охватывают территорию России;</w:t>
      </w:r>
    </w:p>
    <w:p w:rsidR="001406C4" w:rsidRPr="001406C4" w:rsidRDefault="001406C4" w:rsidP="001406C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значительная часть российского потенциала природных энергетических з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пасов находится в Сибири: более 80 % природного газа и около 75 % нефти [1] (табл. 3).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 мировом производстве топливно-энергетических ресурсов Российская Фед</w:t>
      </w:r>
      <w:r w:rsidRPr="001406C4">
        <w:rPr>
          <w:rFonts w:ascii="Times New Roman" w:hAnsi="Times New Roman" w:cs="Times New Roman"/>
          <w:sz w:val="28"/>
          <w:szCs w:val="28"/>
        </w:rPr>
        <w:t>е</w:t>
      </w:r>
      <w:r w:rsidRPr="001406C4">
        <w:rPr>
          <w:rFonts w:ascii="Times New Roman" w:hAnsi="Times New Roman" w:cs="Times New Roman"/>
          <w:sz w:val="28"/>
          <w:szCs w:val="28"/>
        </w:rPr>
        <w:t>рация в 1990 г. занимала первое место в мире по добыче природного газа (30 % мировой добычи) и нефти – 17 %, второе место по выработке электроэне</w:t>
      </w:r>
      <w:r w:rsidRPr="001406C4">
        <w:rPr>
          <w:rFonts w:ascii="Times New Roman" w:hAnsi="Times New Roman" w:cs="Times New Roman"/>
          <w:sz w:val="28"/>
          <w:szCs w:val="28"/>
        </w:rPr>
        <w:t>р</w:t>
      </w:r>
      <w:r w:rsidRPr="001406C4">
        <w:rPr>
          <w:rFonts w:ascii="Times New Roman" w:hAnsi="Times New Roman" w:cs="Times New Roman"/>
          <w:sz w:val="28"/>
          <w:szCs w:val="28"/>
        </w:rPr>
        <w:t>гии – 9 % и четвертое по добыче угля – 8 % [1].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Реальная обеспеченность Российской Федерации энергоресурсами с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ставляет: по нефти – 15-20 лет, по газу – 55-60 лет, по углю – 300-500 лет.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Основным производителем электроэнергии в России является РАО «ЕЭС России», которое в прошедшее десятилетие формировало свою топливную п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литику, предусматривая повышение доли использования природного газа во внутреннем потреблении.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06C4" w:rsidRPr="001406C4" w:rsidRDefault="001406C4" w:rsidP="001406C4">
      <w:pPr>
        <w:jc w:val="right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Таблица 3</w:t>
      </w: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Производство энергоресурсов в Российской Федерации</w:t>
      </w: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7"/>
        <w:gridCol w:w="815"/>
        <w:gridCol w:w="815"/>
        <w:gridCol w:w="815"/>
        <w:gridCol w:w="815"/>
        <w:gridCol w:w="815"/>
        <w:gridCol w:w="815"/>
        <w:gridCol w:w="815"/>
        <w:gridCol w:w="957"/>
      </w:tblGrid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Энергоресурсы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1940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1960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1970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1990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1995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95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2004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Всего, млн. т </w:t>
            </w:r>
            <w:proofErr w:type="spell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spellEnd"/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 xml:space="preserve">          в том числе:</w:t>
            </w:r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Природный газ, </w:t>
            </w:r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 т </w:t>
            </w:r>
            <w:proofErr w:type="spell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spellEnd"/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Нефть и нефтепродукты,</w:t>
            </w:r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млн. т </w:t>
            </w:r>
            <w:proofErr w:type="spell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spellEnd"/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Уголь, млн. т </w:t>
            </w:r>
            <w:proofErr w:type="spell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spellEnd"/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Прочие виды топлива, млн. т </w:t>
            </w:r>
            <w:proofErr w:type="spell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spellEnd"/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Электроэнергия, млрд. кВт</w:t>
            </w:r>
            <w:r w:rsidRPr="001406C4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proofErr w:type="gramStart"/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 xml:space="preserve">    в том числе:</w:t>
            </w:r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Гидроэнергия</w:t>
            </w:r>
          </w:p>
          <w:p w:rsidR="001406C4" w:rsidRPr="001406C4" w:rsidRDefault="001406C4" w:rsidP="00500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Атомная энергия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31,6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436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858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391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65,9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1465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261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805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64,3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1875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737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738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273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19,2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1082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1406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685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439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862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815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1267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584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846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57" w:type="dxa"/>
          </w:tcPr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1486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632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458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931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406C4" w:rsidRPr="001406C4" w:rsidRDefault="001406C4" w:rsidP="00500C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6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Однако в последние годы ситуация резко изменилась и прежде всего в газовой промышленности. В ней проявились негативные тенденции, связанные с падением добычи газа на действующих месторождениях Западной Сибири, отставанием освоения новых газовых площадей на Ямале, в Тюменской обла</w:t>
      </w:r>
      <w:r w:rsidRPr="001406C4">
        <w:rPr>
          <w:rFonts w:ascii="Times New Roman" w:hAnsi="Times New Roman" w:cs="Times New Roman"/>
          <w:sz w:val="28"/>
          <w:szCs w:val="28"/>
        </w:rPr>
        <w:t>с</w:t>
      </w:r>
      <w:r w:rsidRPr="001406C4">
        <w:rPr>
          <w:rFonts w:ascii="Times New Roman" w:hAnsi="Times New Roman" w:cs="Times New Roman"/>
          <w:sz w:val="28"/>
          <w:szCs w:val="28"/>
        </w:rPr>
        <w:t>ти и на шельфе Баренцева моря.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 этих условиях ОАО «Газпром» предлагает снизить поставку природного газа для электроэнергетики России, что означает кардинальную перестройку топливного баланса отрасли и возврат к топливной политике послев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енных лет.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ab/>
        <w:t>В 1999 г. ОАО «Га</w:t>
      </w:r>
      <w:r w:rsidRPr="001406C4">
        <w:rPr>
          <w:rFonts w:ascii="Times New Roman" w:hAnsi="Times New Roman" w:cs="Times New Roman"/>
          <w:sz w:val="28"/>
          <w:szCs w:val="28"/>
        </w:rPr>
        <w:t>з</w:t>
      </w:r>
      <w:r w:rsidRPr="001406C4">
        <w:rPr>
          <w:rFonts w:ascii="Times New Roman" w:hAnsi="Times New Roman" w:cs="Times New Roman"/>
          <w:sz w:val="28"/>
          <w:szCs w:val="28"/>
        </w:rPr>
        <w:t>пром» добыло 545,6 млрд. 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 природного газа, что на 7,4 % ниже уровня 1990 г. Падение спроса на газ ро</w:t>
      </w:r>
      <w:r w:rsidRPr="001406C4">
        <w:rPr>
          <w:rFonts w:ascii="Times New Roman" w:hAnsi="Times New Roman" w:cs="Times New Roman"/>
          <w:sz w:val="28"/>
          <w:szCs w:val="28"/>
        </w:rPr>
        <w:t>с</w:t>
      </w:r>
      <w:r w:rsidRPr="001406C4">
        <w:rPr>
          <w:rFonts w:ascii="Times New Roman" w:hAnsi="Times New Roman" w:cs="Times New Roman"/>
          <w:sz w:val="28"/>
          <w:szCs w:val="28"/>
        </w:rPr>
        <w:t>сийских потребителей за этот период составило 16,3 %, или 66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. Предприятиям электроэнергетики в прошлом году поставлено 134,9 млрд. 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, коммунально-бытовому сектору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75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, в том числе нас</w:t>
      </w:r>
      <w:r w:rsidRPr="001406C4">
        <w:rPr>
          <w:rFonts w:ascii="Times New Roman" w:hAnsi="Times New Roman" w:cs="Times New Roman"/>
          <w:sz w:val="28"/>
          <w:szCs w:val="28"/>
        </w:rPr>
        <w:t>е</w:t>
      </w:r>
      <w:r w:rsidRPr="001406C4">
        <w:rPr>
          <w:rFonts w:ascii="Times New Roman" w:hAnsi="Times New Roman" w:cs="Times New Roman"/>
          <w:sz w:val="28"/>
          <w:szCs w:val="28"/>
        </w:rPr>
        <w:t xml:space="preserve">лению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38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, на экспорт в дальнее зарубежье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126,8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, государс</w:t>
      </w:r>
      <w:r w:rsidRPr="001406C4">
        <w:rPr>
          <w:rFonts w:ascii="Times New Roman" w:hAnsi="Times New Roman" w:cs="Times New Roman"/>
          <w:sz w:val="28"/>
          <w:szCs w:val="28"/>
        </w:rPr>
        <w:t>т</w:t>
      </w:r>
      <w:r w:rsidRPr="001406C4">
        <w:rPr>
          <w:rFonts w:ascii="Times New Roman" w:hAnsi="Times New Roman" w:cs="Times New Roman"/>
          <w:sz w:val="28"/>
          <w:szCs w:val="28"/>
        </w:rPr>
        <w:t xml:space="preserve">вам СНГ и Балтии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77,7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lastRenderedPageBreak/>
        <w:t>В настоящее время Газпром четко и однозначно дает понять, что в среднесро</w:t>
      </w:r>
      <w:r w:rsidRPr="001406C4">
        <w:rPr>
          <w:rFonts w:ascii="Times New Roman" w:hAnsi="Times New Roman" w:cs="Times New Roman"/>
          <w:sz w:val="28"/>
          <w:szCs w:val="28"/>
        </w:rPr>
        <w:t>ч</w:t>
      </w:r>
      <w:r w:rsidRPr="001406C4">
        <w:rPr>
          <w:rFonts w:ascii="Times New Roman" w:hAnsi="Times New Roman" w:cs="Times New Roman"/>
          <w:sz w:val="28"/>
          <w:szCs w:val="28"/>
        </w:rPr>
        <w:t>ной и долгосрочной перспективе не сможет обеспечить поставки газа электр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 xml:space="preserve">станциям даже на современном уровне. Это связано с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выработанностью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трех уникальных действующих месторождений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Медвежье,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Уренгойское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Ямбургское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>, которые совсем недавно  обеспечивали максимальную суммарную добычу газа в объеме 535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 в год. В настоящее время эти месторождения вырабатываются и вступили в период п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дающей добычи. В 1999 г. из них добыто 419,3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, в 2005 г. добыча газа на них снизится до 273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, а к 2020 г.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до 83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. С аналоги</w:t>
      </w:r>
      <w:r w:rsidRPr="001406C4">
        <w:rPr>
          <w:rFonts w:ascii="Times New Roman" w:hAnsi="Times New Roman" w:cs="Times New Roman"/>
          <w:sz w:val="28"/>
          <w:szCs w:val="28"/>
        </w:rPr>
        <w:t>ч</w:t>
      </w:r>
      <w:r w:rsidRPr="001406C4">
        <w:rPr>
          <w:rFonts w:ascii="Times New Roman" w:hAnsi="Times New Roman" w:cs="Times New Roman"/>
          <w:sz w:val="28"/>
          <w:szCs w:val="28"/>
        </w:rPr>
        <w:t xml:space="preserve">ными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геологопромысловыми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характеристиками осталось только одно местор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ждение 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Заполярное, но годовая добыча из этого месторождения не превысит 100 млрд. 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 xml:space="preserve"> и срок поддержания такого уровня добычи не превысит 8-10 лет.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 рассматриваемой перспективе реальные источники нефти и газа перемещ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ются в труднодоступные районы, в зоны северных морей. Это вызывает мног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кратный рост затрат, необходимость применения новых дорогостоящих техн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логий. Возрастающие удельные затраты на добычу и транспортировку газа из новых месторождений, в том числе месторождений газа полуострова Ямал, стан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вятся сопоставимыми с затратами на развитие угледобычи, а в ряде случаев превышают их. Нет отечественного опыта проектирования, строительства и эксплуатации месторождений в условиях морского шельфа Баренцева моря и полуострова Ямал на больших глубинах, в ледовых условиях. Отсутствует необходимое оборуд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вание и плавучие средства для освоения таких мест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рождений.</w:t>
      </w:r>
    </w:p>
    <w:p w:rsidR="001406C4" w:rsidRPr="001406C4" w:rsidRDefault="001406C4" w:rsidP="001406C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На поддержание достигнутого уровня добычи и транспорта газа постоянно тр</w:t>
      </w:r>
      <w:r w:rsidRPr="001406C4">
        <w:rPr>
          <w:rFonts w:ascii="Times New Roman" w:hAnsi="Times New Roman" w:cs="Times New Roman"/>
          <w:sz w:val="28"/>
          <w:szCs w:val="28"/>
        </w:rPr>
        <w:t>е</w:t>
      </w:r>
      <w:r w:rsidRPr="001406C4">
        <w:rPr>
          <w:rFonts w:ascii="Times New Roman" w:hAnsi="Times New Roman" w:cs="Times New Roman"/>
          <w:sz w:val="28"/>
          <w:szCs w:val="28"/>
        </w:rPr>
        <w:t>буются огромные капитальные вложения.</w:t>
      </w:r>
    </w:p>
    <w:p w:rsidR="001406C4" w:rsidRPr="001406C4" w:rsidRDefault="001406C4" w:rsidP="001406C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 связи с возможным сокращением ресурсов природного газа для электростанций рассматриваются следующие направления перестройки топливного б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ланса электроэнергетики: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дополнительная загрузка тепловых электростанций, работающих на угле;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модернизация электростанций, изначально запроектированных на угле (и р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нее сжигавших это топливо, а в настоящее время использующих в основном газ), в целях возврата этих электростанций в проектный топливный р</w:t>
      </w:r>
      <w:r w:rsidRPr="001406C4">
        <w:rPr>
          <w:rFonts w:ascii="Times New Roman" w:hAnsi="Times New Roman" w:cs="Times New Roman"/>
          <w:sz w:val="28"/>
          <w:szCs w:val="28"/>
        </w:rPr>
        <w:t>е</w:t>
      </w:r>
      <w:r w:rsidRPr="001406C4">
        <w:rPr>
          <w:rFonts w:ascii="Times New Roman" w:hAnsi="Times New Roman" w:cs="Times New Roman"/>
          <w:sz w:val="28"/>
          <w:szCs w:val="28"/>
        </w:rPr>
        <w:t>жим;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 xml:space="preserve">использование новых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энергоэффективных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технологий сжигания газа (ГТУ и ПГУ);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новых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энергоэффективных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технологий сжигания твердого топлива (ПГУ с газификацией у</w:t>
      </w:r>
      <w:r w:rsidRPr="001406C4">
        <w:rPr>
          <w:rFonts w:ascii="Times New Roman" w:hAnsi="Times New Roman" w:cs="Times New Roman"/>
          <w:sz w:val="28"/>
          <w:szCs w:val="28"/>
        </w:rPr>
        <w:t>г</w:t>
      </w:r>
      <w:r w:rsidRPr="001406C4">
        <w:rPr>
          <w:rFonts w:ascii="Times New Roman" w:hAnsi="Times New Roman" w:cs="Times New Roman"/>
          <w:sz w:val="28"/>
          <w:szCs w:val="28"/>
        </w:rPr>
        <w:t>ля и  ЦКС);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дополнительное развитие ТЭС на угле;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возможности использования попутного газа;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возможности дополнительного использования ГЭС;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возможности дополнительного использования АЭС;</w:t>
      </w:r>
    </w:p>
    <w:p w:rsidR="001406C4" w:rsidRPr="001406C4" w:rsidRDefault="001406C4" w:rsidP="001406C4">
      <w:pPr>
        <w:numPr>
          <w:ilvl w:val="0"/>
          <w:numId w:val="2"/>
        </w:numPr>
        <w:tabs>
          <w:tab w:val="left" w:pos="106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возможности использования нетрадиционных источников энергии.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Уголь остается основным видом топлива не только для регионов традиционн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го использования – Сибири, Урала и Дальнего Востока. Зона его значительного потребления на ТЭС распространяется и на европейскую часть стр</w:t>
      </w:r>
      <w:r w:rsidRPr="001406C4">
        <w:rPr>
          <w:rFonts w:ascii="Times New Roman" w:hAnsi="Times New Roman" w:cs="Times New Roman"/>
          <w:sz w:val="28"/>
          <w:szCs w:val="28"/>
        </w:rPr>
        <w:t>а</w:t>
      </w:r>
      <w:r w:rsidRPr="001406C4">
        <w:rPr>
          <w:rFonts w:ascii="Times New Roman" w:hAnsi="Times New Roman" w:cs="Times New Roman"/>
          <w:sz w:val="28"/>
          <w:szCs w:val="28"/>
        </w:rPr>
        <w:t>ны.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 xml:space="preserve">Ожидается, что основная часть вновь вводимых мощностей на пылеугольных ТЭС будет работать на </w:t>
      </w:r>
      <w:proofErr w:type="gramStart"/>
      <w:r w:rsidRPr="001406C4">
        <w:rPr>
          <w:rFonts w:ascii="Times New Roman" w:hAnsi="Times New Roman" w:cs="Times New Roman"/>
          <w:sz w:val="28"/>
          <w:szCs w:val="28"/>
        </w:rPr>
        <w:t>кузнецком</w:t>
      </w:r>
      <w:proofErr w:type="gramEnd"/>
      <w:r w:rsidRPr="001406C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канско-ачинском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 xml:space="preserve"> углях. Использование других видов твердого топлива будет носить местный характе</w:t>
      </w:r>
      <w:r w:rsidRPr="001406C4">
        <w:rPr>
          <w:rFonts w:ascii="Times New Roman" w:hAnsi="Times New Roman" w:cs="Times New Roman"/>
          <w:sz w:val="28"/>
          <w:szCs w:val="28"/>
        </w:rPr>
        <w:t>р</w:t>
      </w:r>
      <w:r w:rsidRPr="001406C4">
        <w:rPr>
          <w:rFonts w:ascii="Times New Roman" w:hAnsi="Times New Roman" w:cs="Times New Roman"/>
          <w:sz w:val="28"/>
          <w:szCs w:val="28"/>
        </w:rPr>
        <w:t>.</w:t>
      </w:r>
    </w:p>
    <w:p w:rsidR="001406C4" w:rsidRPr="001406C4" w:rsidRDefault="001406C4" w:rsidP="001406C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 xml:space="preserve">Замещение природного газа на электростанциях твердым топливом может быть экономически оправдано при правильном соотношении их цен. Мировые цены на энергоносители </w:t>
      </w:r>
      <w:proofErr w:type="gramStart"/>
      <w:r w:rsidRPr="001406C4">
        <w:rPr>
          <w:rFonts w:ascii="Times New Roman" w:hAnsi="Times New Roman" w:cs="Times New Roman"/>
          <w:sz w:val="28"/>
          <w:szCs w:val="28"/>
        </w:rPr>
        <w:t>на конец</w:t>
      </w:r>
      <w:proofErr w:type="gramEnd"/>
      <w:r w:rsidRPr="001406C4">
        <w:rPr>
          <w:rFonts w:ascii="Times New Roman" w:hAnsi="Times New Roman" w:cs="Times New Roman"/>
          <w:sz w:val="28"/>
          <w:szCs w:val="28"/>
        </w:rPr>
        <w:t xml:space="preserve"> 1999 г. составляли: газ </w:t>
      </w:r>
      <w:r w:rsidRPr="001406C4">
        <w:rPr>
          <w:rFonts w:ascii="Times New Roman" w:hAnsi="Times New Roman" w:cs="Times New Roman"/>
          <w:sz w:val="28"/>
          <w:szCs w:val="28"/>
        </w:rPr>
        <w:sym w:font="Symbol" w:char="F02D"/>
      </w:r>
      <w:r w:rsidRPr="001406C4">
        <w:rPr>
          <w:rFonts w:ascii="Times New Roman" w:hAnsi="Times New Roman" w:cs="Times New Roman"/>
          <w:sz w:val="28"/>
          <w:szCs w:val="28"/>
        </w:rPr>
        <w:t xml:space="preserve"> 80-120 $/м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406C4">
        <w:rPr>
          <w:rFonts w:ascii="Times New Roman" w:hAnsi="Times New Roman" w:cs="Times New Roman"/>
          <w:sz w:val="28"/>
          <w:szCs w:val="28"/>
        </w:rPr>
        <w:t>,</w:t>
      </w:r>
      <w:r w:rsidRPr="001406C4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1406C4">
        <w:rPr>
          <w:rFonts w:ascii="Times New Roman" w:hAnsi="Times New Roman" w:cs="Times New Roman"/>
          <w:sz w:val="28"/>
          <w:szCs w:val="28"/>
        </w:rPr>
        <w:t xml:space="preserve">мазут –110 $/т, уголь – 25-35 $/т (при </w:t>
      </w:r>
      <w:r w:rsidRPr="001406C4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1406C4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80" w:dyaOrig="400">
          <v:shape id="_x0000_i1026" type="#_x0000_t75" style="width:9.1pt;height:19.95pt" o:ole="">
            <v:imagedata r:id="rId8" o:title=""/>
          </v:shape>
          <o:OLEObject Type="Embed" ProgID="Equation.3" ShapeID="_x0000_i1026" DrawAspect="Content" ObjectID="_1672939393" r:id="rId9"/>
        </w:object>
      </w:r>
      <w:r w:rsidRPr="001406C4">
        <w:rPr>
          <w:rFonts w:ascii="Times New Roman" w:hAnsi="Times New Roman" w:cs="Times New Roman"/>
          <w:sz w:val="28"/>
          <w:szCs w:val="28"/>
        </w:rPr>
        <w:t>=6000-7000 ккал/кг) без транспортных издержек. Мировая практика показывает, что выработка электроэнергии на угле может быть вполне конкурентоспособной с электроэнергией, выработанной на газовом оборудовании. Однако это потребует осуществления технического переоснащения и реконс</w:t>
      </w:r>
      <w:r w:rsidRPr="001406C4">
        <w:rPr>
          <w:rFonts w:ascii="Times New Roman" w:hAnsi="Times New Roman" w:cs="Times New Roman"/>
          <w:sz w:val="28"/>
          <w:szCs w:val="28"/>
        </w:rPr>
        <w:t>т</w:t>
      </w:r>
      <w:r w:rsidRPr="001406C4">
        <w:rPr>
          <w:rFonts w:ascii="Times New Roman" w:hAnsi="Times New Roman" w:cs="Times New Roman"/>
          <w:sz w:val="28"/>
          <w:szCs w:val="28"/>
        </w:rPr>
        <w:t>рукции угольной промышленности в целях не только увеличения объема д</w:t>
      </w:r>
      <w:r w:rsidRPr="001406C4">
        <w:rPr>
          <w:rFonts w:ascii="Times New Roman" w:hAnsi="Times New Roman" w:cs="Times New Roman"/>
          <w:sz w:val="28"/>
          <w:szCs w:val="28"/>
        </w:rPr>
        <w:t>о</w:t>
      </w:r>
      <w:r w:rsidRPr="001406C4">
        <w:rPr>
          <w:rFonts w:ascii="Times New Roman" w:hAnsi="Times New Roman" w:cs="Times New Roman"/>
          <w:sz w:val="28"/>
          <w:szCs w:val="28"/>
        </w:rPr>
        <w:t>бычи углей, но и их переработки, обогащения в целях сн</w:t>
      </w:r>
      <w:r w:rsidRPr="001406C4">
        <w:rPr>
          <w:rFonts w:ascii="Times New Roman" w:hAnsi="Times New Roman" w:cs="Times New Roman"/>
          <w:sz w:val="28"/>
          <w:szCs w:val="28"/>
        </w:rPr>
        <w:t>и</w:t>
      </w:r>
      <w:r w:rsidRPr="001406C4">
        <w:rPr>
          <w:rFonts w:ascii="Times New Roman" w:hAnsi="Times New Roman" w:cs="Times New Roman"/>
          <w:sz w:val="28"/>
          <w:szCs w:val="28"/>
        </w:rPr>
        <w:t>жения издержек производства энергии, в том числе и расходов по доставке твердого топл</w:t>
      </w:r>
      <w:r w:rsidRPr="001406C4">
        <w:rPr>
          <w:rFonts w:ascii="Times New Roman" w:hAnsi="Times New Roman" w:cs="Times New Roman"/>
          <w:sz w:val="28"/>
          <w:szCs w:val="28"/>
        </w:rPr>
        <w:t>и</w:t>
      </w:r>
      <w:r w:rsidRPr="001406C4">
        <w:rPr>
          <w:rFonts w:ascii="Times New Roman" w:hAnsi="Times New Roman" w:cs="Times New Roman"/>
          <w:sz w:val="28"/>
          <w:szCs w:val="28"/>
        </w:rPr>
        <w:t>ва.</w:t>
      </w:r>
    </w:p>
    <w:p w:rsidR="001406C4" w:rsidRPr="001406C4" w:rsidRDefault="001406C4" w:rsidP="001406C4">
      <w:pPr>
        <w:pStyle w:val="a3"/>
        <w:rPr>
          <w:sz w:val="28"/>
          <w:szCs w:val="28"/>
        </w:rPr>
      </w:pPr>
      <w:r w:rsidRPr="001406C4">
        <w:rPr>
          <w:sz w:val="28"/>
          <w:szCs w:val="28"/>
        </w:rPr>
        <w:tab/>
        <w:t>В Свердловской области (табл. 4) отсутствуют запасы газа и нефти. ОАО «</w:t>
      </w:r>
      <w:proofErr w:type="spellStart"/>
      <w:r w:rsidRPr="001406C4">
        <w:rPr>
          <w:sz w:val="28"/>
          <w:szCs w:val="28"/>
        </w:rPr>
        <w:t>Вахрушевуголь</w:t>
      </w:r>
      <w:proofErr w:type="spellEnd"/>
      <w:r w:rsidRPr="001406C4">
        <w:rPr>
          <w:sz w:val="28"/>
          <w:szCs w:val="28"/>
        </w:rPr>
        <w:t>» добывает открытым способом богосло</w:t>
      </w:r>
      <w:r w:rsidRPr="001406C4">
        <w:rPr>
          <w:sz w:val="28"/>
          <w:szCs w:val="28"/>
        </w:rPr>
        <w:t>в</w:t>
      </w:r>
      <w:r w:rsidRPr="001406C4">
        <w:rPr>
          <w:sz w:val="28"/>
          <w:szCs w:val="28"/>
        </w:rPr>
        <w:t>ский бурый уголь (</w:t>
      </w:r>
      <w:proofErr w:type="gramStart"/>
      <w:r w:rsidRPr="001406C4">
        <w:rPr>
          <w:sz w:val="28"/>
          <w:szCs w:val="28"/>
        </w:rPr>
        <w:t>г</w:t>
      </w:r>
      <w:proofErr w:type="gramEnd"/>
      <w:r w:rsidRPr="001406C4">
        <w:rPr>
          <w:sz w:val="28"/>
          <w:szCs w:val="28"/>
        </w:rPr>
        <w:t>. Карпинск) и шахтным спос</w:t>
      </w:r>
      <w:r w:rsidRPr="001406C4">
        <w:rPr>
          <w:sz w:val="28"/>
          <w:szCs w:val="28"/>
        </w:rPr>
        <w:t>о</w:t>
      </w:r>
      <w:r w:rsidRPr="001406C4">
        <w:rPr>
          <w:sz w:val="28"/>
          <w:szCs w:val="28"/>
        </w:rPr>
        <w:t>бом каменный газовый уголь (п. </w:t>
      </w:r>
      <w:proofErr w:type="spellStart"/>
      <w:r w:rsidRPr="001406C4">
        <w:rPr>
          <w:sz w:val="28"/>
          <w:szCs w:val="28"/>
        </w:rPr>
        <w:t>Буланаш</w:t>
      </w:r>
      <w:proofErr w:type="spellEnd"/>
      <w:r w:rsidRPr="001406C4">
        <w:rPr>
          <w:sz w:val="28"/>
          <w:szCs w:val="28"/>
        </w:rPr>
        <w:t xml:space="preserve">). Добыча </w:t>
      </w:r>
      <w:proofErr w:type="spellStart"/>
      <w:r w:rsidRPr="001406C4">
        <w:rPr>
          <w:sz w:val="28"/>
          <w:szCs w:val="28"/>
        </w:rPr>
        <w:t>буланашского</w:t>
      </w:r>
      <w:proofErr w:type="spellEnd"/>
      <w:r w:rsidRPr="001406C4">
        <w:rPr>
          <w:sz w:val="28"/>
          <w:szCs w:val="28"/>
        </w:rPr>
        <w:t xml:space="preserve"> угля шахтным сп</w:t>
      </w:r>
      <w:r w:rsidRPr="001406C4">
        <w:rPr>
          <w:sz w:val="28"/>
          <w:szCs w:val="28"/>
        </w:rPr>
        <w:t>о</w:t>
      </w:r>
      <w:r w:rsidRPr="001406C4">
        <w:rPr>
          <w:sz w:val="28"/>
          <w:szCs w:val="28"/>
        </w:rPr>
        <w:t>собом очень дорога, и его стоимость существенно выше, чем у пр</w:t>
      </w:r>
      <w:r w:rsidRPr="001406C4">
        <w:rPr>
          <w:sz w:val="28"/>
          <w:szCs w:val="28"/>
        </w:rPr>
        <w:t>и</w:t>
      </w:r>
      <w:r w:rsidRPr="001406C4">
        <w:rPr>
          <w:sz w:val="28"/>
          <w:szCs w:val="28"/>
        </w:rPr>
        <w:t xml:space="preserve">возных углей. Месторождение угля в районе г. Карпинска практически выработано, и в </w:t>
      </w:r>
      <w:proofErr w:type="gramStart"/>
      <w:r w:rsidRPr="001406C4">
        <w:rPr>
          <w:sz w:val="28"/>
          <w:szCs w:val="28"/>
        </w:rPr>
        <w:t>ближайшие</w:t>
      </w:r>
      <w:proofErr w:type="gramEnd"/>
      <w:r w:rsidRPr="001406C4">
        <w:rPr>
          <w:sz w:val="28"/>
          <w:szCs w:val="28"/>
        </w:rPr>
        <w:t xml:space="preserve"> 10 лет планируется закрытие разрезов. В области существуют запасы тощих углей и антрацитов </w:t>
      </w:r>
      <w:proofErr w:type="spellStart"/>
      <w:r w:rsidRPr="001406C4">
        <w:rPr>
          <w:sz w:val="28"/>
          <w:szCs w:val="28"/>
        </w:rPr>
        <w:t>Еловско</w:t>
      </w:r>
      <w:proofErr w:type="spellEnd"/>
      <w:r w:rsidRPr="001406C4">
        <w:rPr>
          <w:sz w:val="28"/>
          <w:szCs w:val="28"/>
        </w:rPr>
        <w:t xml:space="preserve"> </w:t>
      </w:r>
      <w:r w:rsidRPr="001406C4">
        <w:rPr>
          <w:sz w:val="28"/>
          <w:szCs w:val="28"/>
        </w:rPr>
        <w:sym w:font="Symbol" w:char="F02D"/>
      </w:r>
      <w:r w:rsidRPr="001406C4">
        <w:rPr>
          <w:sz w:val="28"/>
          <w:szCs w:val="28"/>
        </w:rPr>
        <w:t xml:space="preserve"> </w:t>
      </w:r>
      <w:proofErr w:type="spellStart"/>
      <w:r w:rsidRPr="001406C4">
        <w:rPr>
          <w:sz w:val="28"/>
          <w:szCs w:val="28"/>
        </w:rPr>
        <w:t>Трошко</w:t>
      </w:r>
      <w:r w:rsidRPr="001406C4">
        <w:rPr>
          <w:sz w:val="28"/>
          <w:szCs w:val="28"/>
        </w:rPr>
        <w:t>в</w:t>
      </w:r>
      <w:r w:rsidRPr="001406C4">
        <w:rPr>
          <w:sz w:val="28"/>
          <w:szCs w:val="28"/>
        </w:rPr>
        <w:t>ского</w:t>
      </w:r>
      <w:proofErr w:type="spellEnd"/>
      <w:r w:rsidRPr="001406C4">
        <w:rPr>
          <w:sz w:val="28"/>
          <w:szCs w:val="28"/>
        </w:rPr>
        <w:t xml:space="preserve"> месторождения, в ближайшем будущем планируется их разработка. О</w:t>
      </w:r>
      <w:r w:rsidRPr="001406C4">
        <w:rPr>
          <w:sz w:val="28"/>
          <w:szCs w:val="28"/>
        </w:rPr>
        <w:t>с</w:t>
      </w:r>
      <w:r w:rsidRPr="001406C4">
        <w:rPr>
          <w:sz w:val="28"/>
          <w:szCs w:val="28"/>
        </w:rPr>
        <w:t>новным производителем тепловой и электрической энергии в Свердловской о</w:t>
      </w:r>
      <w:r w:rsidRPr="001406C4">
        <w:rPr>
          <w:sz w:val="28"/>
          <w:szCs w:val="28"/>
        </w:rPr>
        <w:t>б</w:t>
      </w:r>
      <w:r w:rsidRPr="001406C4">
        <w:rPr>
          <w:sz w:val="28"/>
          <w:szCs w:val="28"/>
        </w:rPr>
        <w:t>ласти является ОАО «</w:t>
      </w:r>
      <w:proofErr w:type="spellStart"/>
      <w:r w:rsidRPr="001406C4">
        <w:rPr>
          <w:sz w:val="28"/>
          <w:szCs w:val="28"/>
        </w:rPr>
        <w:t>Свердловэнерго</w:t>
      </w:r>
      <w:proofErr w:type="spellEnd"/>
      <w:r w:rsidRPr="001406C4">
        <w:rPr>
          <w:sz w:val="28"/>
          <w:szCs w:val="28"/>
        </w:rPr>
        <w:t>» (рис. 3).</w:t>
      </w:r>
    </w:p>
    <w:p w:rsidR="001406C4" w:rsidRPr="001406C4" w:rsidRDefault="001406C4" w:rsidP="001406C4">
      <w:pPr>
        <w:pStyle w:val="a3"/>
        <w:rPr>
          <w:sz w:val="28"/>
          <w:szCs w:val="28"/>
        </w:rPr>
      </w:pPr>
    </w:p>
    <w:p w:rsidR="001406C4" w:rsidRPr="001406C4" w:rsidRDefault="001406C4" w:rsidP="001406C4">
      <w:pPr>
        <w:pStyle w:val="a3"/>
        <w:jc w:val="right"/>
        <w:rPr>
          <w:sz w:val="28"/>
          <w:szCs w:val="28"/>
        </w:rPr>
      </w:pPr>
      <w:r w:rsidRPr="001406C4">
        <w:rPr>
          <w:sz w:val="28"/>
          <w:szCs w:val="28"/>
        </w:rPr>
        <w:t>Таблица 4</w:t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  <w:r w:rsidRPr="001406C4">
        <w:rPr>
          <w:sz w:val="28"/>
          <w:szCs w:val="28"/>
        </w:rPr>
        <w:lastRenderedPageBreak/>
        <w:t>Топливный баланс Свердловской области</w:t>
      </w:r>
    </w:p>
    <w:p w:rsidR="001406C4" w:rsidRPr="001406C4" w:rsidRDefault="001406C4" w:rsidP="001406C4">
      <w:pPr>
        <w:pStyle w:val="a3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3117"/>
        <w:gridCol w:w="3971"/>
        <w:gridCol w:w="955"/>
      </w:tblGrid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1809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Топливо</w:t>
            </w:r>
          </w:p>
        </w:tc>
        <w:tc>
          <w:tcPr>
            <w:tcW w:w="3117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1406C4">
              <w:rPr>
                <w:sz w:val="28"/>
                <w:szCs w:val="28"/>
              </w:rPr>
              <w:t>Пром</w:t>
            </w:r>
            <w:proofErr w:type="spellEnd"/>
            <w:r w:rsidRPr="001406C4">
              <w:rPr>
                <w:sz w:val="28"/>
                <w:szCs w:val="28"/>
              </w:rPr>
              <w:t>. предприятия</w:t>
            </w:r>
            <w:proofErr w:type="gramEnd"/>
          </w:p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 и ЖКХ</w:t>
            </w:r>
          </w:p>
        </w:tc>
        <w:tc>
          <w:tcPr>
            <w:tcW w:w="3971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proofErr w:type="spellStart"/>
            <w:r w:rsidRPr="001406C4">
              <w:rPr>
                <w:sz w:val="28"/>
                <w:szCs w:val="28"/>
              </w:rPr>
              <w:t>Свердловэнерго</w:t>
            </w:r>
            <w:proofErr w:type="spellEnd"/>
          </w:p>
        </w:tc>
        <w:tc>
          <w:tcPr>
            <w:tcW w:w="955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%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1809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Газ</w:t>
            </w:r>
          </w:p>
        </w:tc>
        <w:tc>
          <w:tcPr>
            <w:tcW w:w="3117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10 млрд. м</w:t>
            </w:r>
            <w:r w:rsidRPr="001406C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971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5,4 млрд. м</w:t>
            </w:r>
            <w:r w:rsidRPr="001406C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55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42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1809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Уголь</w:t>
            </w:r>
          </w:p>
        </w:tc>
        <w:tc>
          <w:tcPr>
            <w:tcW w:w="3117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 млн. т</w:t>
            </w:r>
          </w:p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0,2 млн. т – местный</w:t>
            </w:r>
          </w:p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0,8 млн. т </w:t>
            </w:r>
            <w:r w:rsidRPr="001406C4">
              <w:rPr>
                <w:sz w:val="28"/>
                <w:szCs w:val="28"/>
              </w:rPr>
              <w:sym w:font="Symbol" w:char="F02D"/>
            </w:r>
            <w:r w:rsidRPr="001406C4">
              <w:rPr>
                <w:sz w:val="28"/>
                <w:szCs w:val="28"/>
              </w:rPr>
              <w:t xml:space="preserve"> приво</w:t>
            </w:r>
            <w:r w:rsidRPr="001406C4">
              <w:rPr>
                <w:sz w:val="28"/>
                <w:szCs w:val="28"/>
              </w:rPr>
              <w:t>з</w:t>
            </w:r>
            <w:r w:rsidRPr="001406C4">
              <w:rPr>
                <w:sz w:val="28"/>
                <w:szCs w:val="28"/>
              </w:rPr>
              <w:t>ной</w:t>
            </w:r>
          </w:p>
        </w:tc>
        <w:tc>
          <w:tcPr>
            <w:tcW w:w="3971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13 млн. т </w:t>
            </w:r>
            <w:r w:rsidRPr="001406C4">
              <w:rPr>
                <w:sz w:val="28"/>
                <w:szCs w:val="28"/>
              </w:rPr>
              <w:sym w:font="Symbol" w:char="F02D"/>
            </w:r>
            <w:r w:rsidRPr="001406C4">
              <w:rPr>
                <w:sz w:val="28"/>
                <w:szCs w:val="28"/>
              </w:rPr>
              <w:t xml:space="preserve"> </w:t>
            </w:r>
            <w:proofErr w:type="spellStart"/>
            <w:r w:rsidRPr="001406C4">
              <w:rPr>
                <w:sz w:val="28"/>
                <w:szCs w:val="28"/>
              </w:rPr>
              <w:t>экибастузский</w:t>
            </w:r>
            <w:proofErr w:type="spellEnd"/>
            <w:r w:rsidRPr="001406C4">
              <w:rPr>
                <w:sz w:val="28"/>
                <w:szCs w:val="28"/>
              </w:rPr>
              <w:t xml:space="preserve">; </w:t>
            </w:r>
          </w:p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2 млн. т </w:t>
            </w:r>
            <w:r w:rsidRPr="001406C4">
              <w:rPr>
                <w:sz w:val="28"/>
                <w:szCs w:val="28"/>
              </w:rPr>
              <w:sym w:font="Symbol" w:char="F02D"/>
            </w:r>
            <w:r w:rsidRPr="001406C4">
              <w:rPr>
                <w:sz w:val="28"/>
                <w:szCs w:val="28"/>
              </w:rPr>
              <w:t xml:space="preserve"> кузнецкий; </w:t>
            </w:r>
          </w:p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2 млн. т – местный</w:t>
            </w:r>
          </w:p>
        </w:tc>
        <w:tc>
          <w:tcPr>
            <w:tcW w:w="955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57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1809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 xml:space="preserve">Мазут </w:t>
            </w:r>
          </w:p>
        </w:tc>
        <w:tc>
          <w:tcPr>
            <w:tcW w:w="3117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0,4 млн. т</w:t>
            </w:r>
          </w:p>
        </w:tc>
        <w:tc>
          <w:tcPr>
            <w:tcW w:w="3971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0,1 млн. т</w:t>
            </w:r>
          </w:p>
        </w:tc>
        <w:tc>
          <w:tcPr>
            <w:tcW w:w="955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1</w:t>
            </w:r>
          </w:p>
        </w:tc>
      </w:tr>
      <w:tr w:rsidR="001406C4" w:rsidRPr="001406C4" w:rsidTr="00500C8F">
        <w:tblPrEx>
          <w:tblCellMar>
            <w:top w:w="0" w:type="dxa"/>
            <w:bottom w:w="0" w:type="dxa"/>
          </w:tblCellMar>
        </w:tblPrEx>
        <w:tc>
          <w:tcPr>
            <w:tcW w:w="1809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Торф</w:t>
            </w:r>
          </w:p>
        </w:tc>
        <w:tc>
          <w:tcPr>
            <w:tcW w:w="3117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0,135 млн. т</w:t>
            </w:r>
          </w:p>
        </w:tc>
        <w:tc>
          <w:tcPr>
            <w:tcW w:w="3971" w:type="dxa"/>
          </w:tcPr>
          <w:p w:rsidR="001406C4" w:rsidRPr="001406C4" w:rsidRDefault="001406C4" w:rsidP="00500C8F">
            <w:pPr>
              <w:pStyle w:val="a3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-</w:t>
            </w:r>
          </w:p>
        </w:tc>
        <w:tc>
          <w:tcPr>
            <w:tcW w:w="955" w:type="dxa"/>
          </w:tcPr>
          <w:p w:rsidR="001406C4" w:rsidRPr="001406C4" w:rsidRDefault="001406C4" w:rsidP="00500C8F">
            <w:pPr>
              <w:pStyle w:val="a3"/>
              <w:jc w:val="center"/>
              <w:rPr>
                <w:sz w:val="28"/>
                <w:szCs w:val="28"/>
              </w:rPr>
            </w:pPr>
            <w:r w:rsidRPr="001406C4">
              <w:rPr>
                <w:sz w:val="28"/>
                <w:szCs w:val="28"/>
              </w:rPr>
              <w:t>0,1</w:t>
            </w:r>
          </w:p>
        </w:tc>
      </w:tr>
    </w:tbl>
    <w:p w:rsidR="001406C4" w:rsidRPr="001406C4" w:rsidRDefault="001406C4" w:rsidP="001406C4">
      <w:pPr>
        <w:pStyle w:val="a3"/>
        <w:rPr>
          <w:sz w:val="28"/>
          <w:szCs w:val="28"/>
        </w:rPr>
      </w:pPr>
    </w:p>
    <w:p w:rsidR="001406C4" w:rsidRPr="001406C4" w:rsidRDefault="001406C4" w:rsidP="001406C4">
      <w:pPr>
        <w:pStyle w:val="a3"/>
        <w:ind w:firstLine="720"/>
        <w:rPr>
          <w:sz w:val="28"/>
          <w:szCs w:val="28"/>
        </w:rPr>
      </w:pPr>
      <w:r w:rsidRPr="001406C4">
        <w:rPr>
          <w:sz w:val="28"/>
          <w:szCs w:val="28"/>
        </w:rPr>
        <w:t>Основной проблемой топливосна</w:t>
      </w:r>
      <w:r w:rsidRPr="001406C4">
        <w:rPr>
          <w:sz w:val="28"/>
          <w:szCs w:val="28"/>
        </w:rPr>
        <w:t>б</w:t>
      </w:r>
      <w:r w:rsidRPr="001406C4">
        <w:rPr>
          <w:sz w:val="28"/>
          <w:szCs w:val="28"/>
        </w:rPr>
        <w:t>жения ОАО «</w:t>
      </w:r>
      <w:proofErr w:type="spellStart"/>
      <w:r w:rsidRPr="001406C4">
        <w:rPr>
          <w:sz w:val="28"/>
          <w:szCs w:val="28"/>
        </w:rPr>
        <w:t>Свердловэнерго</w:t>
      </w:r>
      <w:proofErr w:type="spellEnd"/>
      <w:r w:rsidRPr="001406C4">
        <w:rPr>
          <w:sz w:val="28"/>
          <w:szCs w:val="28"/>
        </w:rPr>
        <w:t>» является исторически сложившаяся ориентация на Казахские угли, которые значительно дороже кузнецкого и б</w:t>
      </w:r>
      <w:r w:rsidRPr="001406C4">
        <w:rPr>
          <w:sz w:val="28"/>
          <w:szCs w:val="28"/>
        </w:rPr>
        <w:t>о</w:t>
      </w:r>
      <w:r w:rsidRPr="001406C4">
        <w:rPr>
          <w:sz w:val="28"/>
          <w:szCs w:val="28"/>
        </w:rPr>
        <w:t>родинского углей. В настоящее время рассматриваются вопросы технической возможности перевода станций системы ОАО «</w:t>
      </w:r>
      <w:proofErr w:type="spellStart"/>
      <w:r w:rsidRPr="001406C4">
        <w:rPr>
          <w:sz w:val="28"/>
          <w:szCs w:val="28"/>
        </w:rPr>
        <w:t>Свердловэнерго</w:t>
      </w:r>
      <w:proofErr w:type="spellEnd"/>
      <w:r w:rsidRPr="001406C4">
        <w:rPr>
          <w:sz w:val="28"/>
          <w:szCs w:val="28"/>
        </w:rPr>
        <w:t>» на Российские угли.</w:t>
      </w:r>
    </w:p>
    <w:p w:rsidR="001406C4" w:rsidRPr="001406C4" w:rsidRDefault="001406C4" w:rsidP="001406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79620" cy="2174875"/>
            <wp:effectExtent l="0" t="0" r="0" b="0"/>
            <wp:docPr id="8" name="Объект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406C4" w:rsidRPr="001406C4" w:rsidRDefault="001406C4" w:rsidP="001406C4">
      <w:pPr>
        <w:jc w:val="center"/>
        <w:rPr>
          <w:rFonts w:ascii="Times New Roman" w:hAnsi="Times New Roman" w:cs="Times New Roman"/>
          <w:sz w:val="28"/>
          <w:szCs w:val="28"/>
        </w:rPr>
      </w:pPr>
      <w:r w:rsidRPr="001406C4">
        <w:rPr>
          <w:rFonts w:ascii="Times New Roman" w:hAnsi="Times New Roman" w:cs="Times New Roman"/>
          <w:sz w:val="28"/>
          <w:szCs w:val="28"/>
        </w:rPr>
        <w:t>Рисунок 3 - Структура топливного баланса АО «</w:t>
      </w:r>
      <w:proofErr w:type="spellStart"/>
      <w:r w:rsidRPr="001406C4">
        <w:rPr>
          <w:rFonts w:ascii="Times New Roman" w:hAnsi="Times New Roman" w:cs="Times New Roman"/>
          <w:sz w:val="28"/>
          <w:szCs w:val="28"/>
        </w:rPr>
        <w:t>Свердловэнерго</w:t>
      </w:r>
      <w:proofErr w:type="spellEnd"/>
      <w:r w:rsidRPr="001406C4">
        <w:rPr>
          <w:rFonts w:ascii="Times New Roman" w:hAnsi="Times New Roman" w:cs="Times New Roman"/>
          <w:sz w:val="28"/>
          <w:szCs w:val="28"/>
        </w:rPr>
        <w:t>»</w:t>
      </w:r>
    </w:p>
    <w:p w:rsidR="00296533" w:rsidRPr="001406C4" w:rsidRDefault="00296533" w:rsidP="001406C4">
      <w:pPr>
        <w:rPr>
          <w:rFonts w:ascii="Times New Roman" w:hAnsi="Times New Roman" w:cs="Times New Roman"/>
          <w:sz w:val="28"/>
          <w:szCs w:val="28"/>
        </w:rPr>
      </w:pPr>
    </w:p>
    <w:sectPr w:rsidR="00296533" w:rsidRPr="001406C4" w:rsidSect="00D37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42EA53EB"/>
    <w:multiLevelType w:val="singleLevel"/>
    <w:tmpl w:val="3A60F35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BA7554"/>
    <w:rsid w:val="001406C4"/>
    <w:rsid w:val="00296533"/>
    <w:rsid w:val="00BA7554"/>
    <w:rsid w:val="00D37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8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rsid w:val="00BA75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character" w:customStyle="1" w:styleId="a4">
    <w:name w:val="Основной текст Знак"/>
    <w:basedOn w:val="a0"/>
    <w:link w:val="a3"/>
    <w:uiPriority w:val="99"/>
    <w:semiHidden/>
    <w:rsid w:val="00BA7554"/>
  </w:style>
  <w:style w:type="character" w:customStyle="1" w:styleId="1">
    <w:name w:val="Основной текст Знак1"/>
    <w:aliases w:val="Основной текст Знак Знак"/>
    <w:basedOn w:val="a0"/>
    <w:link w:val="a3"/>
    <w:rsid w:val="00BA7554"/>
    <w:rPr>
      <w:rFonts w:ascii="Times New Roman" w:eastAsia="Times New Roman" w:hAnsi="Times New Roman" w:cs="Times New Roman"/>
      <w:sz w:val="24"/>
      <w:szCs w:val="20"/>
      <w:lang w:eastAsia="ja-JP"/>
    </w:rPr>
  </w:style>
  <w:style w:type="paragraph" w:customStyle="1" w:styleId="10">
    <w:name w:val="Заголовок 1 мой"/>
    <w:basedOn w:val="a"/>
    <w:rsid w:val="00BA7554"/>
    <w:pPr>
      <w:keepNext/>
      <w:spacing w:before="120" w:after="24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aps/>
      <w:sz w:val="28"/>
      <w:szCs w:val="28"/>
      <w:lang w:eastAsia="ja-JP"/>
    </w:rPr>
  </w:style>
  <w:style w:type="paragraph" w:styleId="a5">
    <w:name w:val="Balloon Text"/>
    <w:basedOn w:val="a"/>
    <w:link w:val="a6"/>
    <w:uiPriority w:val="99"/>
    <w:semiHidden/>
    <w:unhideWhenUsed/>
    <w:rsid w:val="00BA7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7554"/>
    <w:rPr>
      <w:rFonts w:ascii="Tahoma" w:hAnsi="Tahoma" w:cs="Tahoma"/>
      <w:sz w:val="16"/>
      <w:szCs w:val="16"/>
    </w:rPr>
  </w:style>
  <w:style w:type="paragraph" w:styleId="a7">
    <w:name w:val="Plain Text"/>
    <w:basedOn w:val="a"/>
    <w:link w:val="a8"/>
    <w:semiHidden/>
    <w:rsid w:val="001406C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8">
    <w:name w:val="Текст Знак"/>
    <w:basedOn w:val="a0"/>
    <w:link w:val="a7"/>
    <w:semiHidden/>
    <w:rsid w:val="001406C4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__________Microsoft_Office_Excel1.xls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2931034482758624"/>
          <c:y val="8.0152671755725186E-2"/>
          <c:w val="0.73060344827586232"/>
          <c:h val="0.72900763358778675"/>
        </c:manualLayout>
      </c:layout>
      <c:areaChart>
        <c:grouping val="standard"/>
        <c:ser>
          <c:idx val="0"/>
          <c:order val="0"/>
          <c:spPr>
            <a:solidFill>
              <a:srgbClr val="993300"/>
            </a:solidFill>
            <a:ln w="12689">
              <a:solidFill>
                <a:srgbClr val="000000"/>
              </a:solidFill>
              <a:prstDash val="solid"/>
            </a:ln>
          </c:spPr>
          <c:val>
            <c:numRef>
              <c:f>Лист2!$D$84:$L$84</c:f>
              <c:numCache>
                <c:formatCode>General</c:formatCode>
                <c:ptCount val="9"/>
                <c:pt idx="0">
                  <c:v>2.8499999999999992</c:v>
                </c:pt>
                <c:pt idx="1">
                  <c:v>4.3499999999999996</c:v>
                </c:pt>
                <c:pt idx="2">
                  <c:v>6.44</c:v>
                </c:pt>
                <c:pt idx="3">
                  <c:v>10.1</c:v>
                </c:pt>
                <c:pt idx="4">
                  <c:v>10.9</c:v>
                </c:pt>
                <c:pt idx="5">
                  <c:v>12.2</c:v>
                </c:pt>
                <c:pt idx="6">
                  <c:v>13</c:v>
                </c:pt>
                <c:pt idx="7">
                  <c:v>15.5</c:v>
                </c:pt>
                <c:pt idx="8">
                  <c:v>19</c:v>
                </c:pt>
              </c:numCache>
            </c:numRef>
          </c:val>
        </c:ser>
        <c:axId val="172376832"/>
        <c:axId val="172378368"/>
      </c:areaChart>
      <c:catAx>
        <c:axId val="172376832"/>
        <c:scaling>
          <c:orientation val="minMax"/>
        </c:scaling>
        <c:axPos val="b"/>
        <c:numFmt formatCode="General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72378368"/>
        <c:crosses val="autoZero"/>
        <c:auto val="1"/>
        <c:lblAlgn val="ctr"/>
        <c:lblOffset val="100"/>
        <c:tickLblSkip val="1"/>
        <c:tickMarkSkip val="1"/>
      </c:catAx>
      <c:valAx>
        <c:axId val="172378368"/>
        <c:scaling>
          <c:orientation val="minMax"/>
        </c:scaling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974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млрд т у.т.</a:t>
                </a:r>
              </a:p>
            </c:rich>
          </c:tx>
          <c:layout>
            <c:manualLayout>
              <c:xMode val="edge"/>
              <c:yMode val="edge"/>
              <c:x val="2.3706896551724147E-2"/>
              <c:y val="0.3053435114503818"/>
            </c:manualLayout>
          </c:layout>
          <c:spPr>
            <a:noFill/>
            <a:ln w="25379">
              <a:noFill/>
            </a:ln>
          </c:spPr>
        </c:title>
        <c:numFmt formatCode="General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4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72376832"/>
        <c:crosses val="autoZero"/>
        <c:crossBetween val="midCat"/>
        <c:majorUnit val="4"/>
      </c:valAx>
      <c:spPr>
        <a:solidFill>
          <a:srgbClr val="FFFF00"/>
        </a:solidFill>
        <a:ln w="12689">
          <a:solidFill>
            <a:srgbClr val="808080"/>
          </a:solidFill>
          <a:prstDash val="solid"/>
        </a:ln>
      </c:spPr>
    </c:plotArea>
    <c:plotVisOnly val="1"/>
    <c:dispBlanksAs val="zero"/>
  </c:chart>
  <c:spPr>
    <a:solidFill>
      <a:srgbClr val="FFFFFF"/>
    </a:solidFill>
    <a:ln w="3172">
      <a:solidFill>
        <a:srgbClr val="000000"/>
      </a:solidFill>
      <a:prstDash val="solid"/>
    </a:ln>
  </c:spPr>
  <c:txPr>
    <a:bodyPr/>
    <a:lstStyle/>
    <a:p>
      <a:pPr>
        <a:defRPr sz="974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8843683083511789"/>
          <c:y val="0.10045662100456618"/>
          <c:w val="0.37473233404710921"/>
          <c:h val="0.79908675799086759"/>
        </c:manualLayout>
      </c:layout>
      <c:pieChart>
        <c:varyColors val="1"/>
        <c:ser>
          <c:idx val="0"/>
          <c:order val="0"/>
          <c:spPr>
            <a:solidFill>
              <a:srgbClr val="9999FF"/>
            </a:solidFill>
            <a:ln w="11788">
              <a:solidFill>
                <a:srgbClr val="000000"/>
              </a:solidFill>
              <a:prstDash val="solid"/>
            </a:ln>
          </c:spPr>
          <c:dPt>
            <c:idx val="1"/>
            <c:spPr>
              <a:solidFill>
                <a:srgbClr val="FF0000"/>
              </a:solidFill>
              <a:ln w="11788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00"/>
              </a:solidFill>
              <a:ln w="11788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00FF00"/>
              </a:solidFill>
              <a:ln w="11788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660066"/>
              </a:solidFill>
              <a:ln w="11788">
                <a:solidFill>
                  <a:srgbClr val="000000"/>
                </a:solidFill>
                <a:prstDash val="solid"/>
              </a:ln>
            </c:spPr>
          </c:dPt>
          <c:dPt>
            <c:idx val="5"/>
            <c:spPr>
              <a:solidFill>
                <a:srgbClr val="FF8080"/>
              </a:solidFill>
              <a:ln w="11788">
                <a:solidFill>
                  <a:srgbClr val="000000"/>
                </a:solidFill>
                <a:prstDash val="solid"/>
              </a:ln>
            </c:spPr>
          </c:dPt>
          <c:cat>
            <c:strRef>
              <c:f>Лист2!$A$11:$A$16</c:f>
              <c:strCache>
                <c:ptCount val="6"/>
                <c:pt idx="0">
                  <c:v>Газ</c:v>
                </c:pt>
                <c:pt idx="1">
                  <c:v>Местный уголь</c:v>
                </c:pt>
                <c:pt idx="2">
                  <c:v>Экибастуз</c:v>
                </c:pt>
                <c:pt idx="3">
                  <c:v>Прочие угли</c:v>
                </c:pt>
                <c:pt idx="4">
                  <c:v>Мазут</c:v>
                </c:pt>
                <c:pt idx="5">
                  <c:v>Торф</c:v>
                </c:pt>
              </c:strCache>
            </c:strRef>
          </c:cat>
          <c:val>
            <c:numRef>
              <c:f>Лист2!$B$11:$B$16</c:f>
              <c:numCache>
                <c:formatCode>General</c:formatCode>
                <c:ptCount val="6"/>
                <c:pt idx="0">
                  <c:v>42</c:v>
                </c:pt>
                <c:pt idx="1">
                  <c:v>13</c:v>
                </c:pt>
                <c:pt idx="2">
                  <c:v>41.2</c:v>
                </c:pt>
                <c:pt idx="3">
                  <c:v>2.6999999999999971</c:v>
                </c:pt>
                <c:pt idx="4">
                  <c:v>1</c:v>
                </c:pt>
                <c:pt idx="5">
                  <c:v>0.1</c:v>
                </c:pt>
              </c:numCache>
            </c:numRef>
          </c:val>
        </c:ser>
        <c:firstSliceAng val="0"/>
      </c:pieChart>
      <c:spPr>
        <a:noFill/>
        <a:ln w="23576">
          <a:noFill/>
        </a:ln>
      </c:spPr>
    </c:plotArea>
    <c:legend>
      <c:legendPos val="r"/>
      <c:layout>
        <c:manualLayout>
          <c:xMode val="edge"/>
          <c:yMode val="edge"/>
          <c:x val="0.72805139186295476"/>
          <c:y val="0.21004566210045666"/>
          <c:w val="0.26338329764453972"/>
          <c:h val="0.58447488584474838"/>
        </c:manualLayout>
      </c:layout>
      <c:spPr>
        <a:solidFill>
          <a:srgbClr val="FFFFFF"/>
        </a:solidFill>
        <a:ln w="2947">
          <a:solidFill>
            <a:srgbClr val="000000"/>
          </a:solidFill>
          <a:prstDash val="solid"/>
        </a:ln>
      </c:spPr>
      <c:txPr>
        <a:bodyPr/>
        <a:lstStyle/>
        <a:p>
          <a:pPr>
            <a:defRPr sz="854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zero"/>
  </c:chart>
  <c:spPr>
    <a:solidFill>
      <a:srgbClr val="FFFFFF"/>
    </a:solidFill>
    <a:ln w="2947">
      <a:solidFill>
        <a:srgbClr val="000000"/>
      </a:solidFill>
      <a:prstDash val="solid"/>
    </a:ln>
  </c:spPr>
  <c:txPr>
    <a:bodyPr/>
    <a:lstStyle/>
    <a:p>
      <a:pPr>
        <a:defRPr sz="835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0.0965</cdr:x>
      <cdr:y>0.84825</cdr:y>
    </cdr:from>
    <cdr:to>
      <cdr:x>0.88825</cdr:x>
      <cdr:y>0.99325</cdr:y>
    </cdr:to>
    <cdr:sp macro="" textlink="">
      <cdr:nvSpPr>
        <cdr:cNvPr id="10241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26491" y="2116850"/>
          <a:ext cx="3499219" cy="3618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r>
            <a:rPr lang="ru-RU" sz="925" b="0" i="0" strike="noStrike">
              <a:solidFill>
                <a:srgbClr val="000000"/>
              </a:solidFill>
              <a:latin typeface="Arial Cyr"/>
            </a:rPr>
            <a:t>1950     1960        1980     1985    1990    2000    2010    2020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1840</Words>
  <Characters>10491</Characters>
  <Application>Microsoft Office Word</Application>
  <DocSecurity>0</DocSecurity>
  <Lines>87</Lines>
  <Paragraphs>24</Paragraphs>
  <ScaleCrop>false</ScaleCrop>
  <Company/>
  <LinksUpToDate>false</LinksUpToDate>
  <CharactersWithSpaces>12307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2021-01-23T14:34:00Z</dcterms:created>
  <dcterms:modified xsi:type="dcterms:W3CDTF">2021-01-23T14:37:00Z</dcterms:modified>
</cp:coreProperties>
</file>